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37"/>
        <w:gridCol w:w="1313"/>
        <w:gridCol w:w="1342"/>
        <w:gridCol w:w="1517"/>
        <w:gridCol w:w="1342"/>
        <w:gridCol w:w="1254"/>
      </w:tblGrid>
      <w:tr w:rsidR="00153F6B" w:rsidTr="00BF3DC8">
        <w:tc>
          <w:tcPr>
            <w:tcW w:w="1271" w:type="dxa"/>
          </w:tcPr>
          <w:p w:rsidR="00AB5B3C" w:rsidRPr="007D6A6A" w:rsidRDefault="00AB5B3C" w:rsidP="00AB5B3C">
            <w:pPr>
              <w:jc w:val="center"/>
              <w:rPr>
                <w:b/>
                <w:sz w:val="20"/>
                <w:szCs w:val="20"/>
              </w:rPr>
            </w:pPr>
            <w:r w:rsidRPr="007D6A6A">
              <w:rPr>
                <w:b/>
                <w:sz w:val="20"/>
                <w:szCs w:val="20"/>
              </w:rPr>
              <w:t>Grad Year</w:t>
            </w:r>
          </w:p>
        </w:tc>
        <w:tc>
          <w:tcPr>
            <w:tcW w:w="1537" w:type="dxa"/>
          </w:tcPr>
          <w:p w:rsidR="00AB5B3C" w:rsidRPr="007D6A6A" w:rsidRDefault="00BF3DC8" w:rsidP="00AB5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Success</w:t>
            </w:r>
            <w:r w:rsidR="00AB5B3C" w:rsidRPr="007D6A6A">
              <w:rPr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1313" w:type="dxa"/>
          </w:tcPr>
          <w:p w:rsidR="00AB5B3C" w:rsidRPr="007D6A6A" w:rsidRDefault="00AB5B3C" w:rsidP="00AB5B3C">
            <w:pPr>
              <w:jc w:val="center"/>
              <w:rPr>
                <w:b/>
                <w:sz w:val="20"/>
                <w:szCs w:val="20"/>
              </w:rPr>
            </w:pPr>
            <w:r w:rsidRPr="007D6A6A">
              <w:rPr>
                <w:b/>
                <w:sz w:val="20"/>
                <w:szCs w:val="20"/>
              </w:rPr>
              <w:t>Professional Employment</w:t>
            </w:r>
          </w:p>
        </w:tc>
        <w:tc>
          <w:tcPr>
            <w:tcW w:w="1342" w:type="dxa"/>
          </w:tcPr>
          <w:p w:rsidR="00AB5B3C" w:rsidRPr="007D6A6A" w:rsidRDefault="00AB5B3C" w:rsidP="00AB5B3C">
            <w:pPr>
              <w:jc w:val="center"/>
              <w:rPr>
                <w:b/>
                <w:sz w:val="20"/>
                <w:szCs w:val="20"/>
              </w:rPr>
            </w:pPr>
            <w:r w:rsidRPr="007D6A6A">
              <w:rPr>
                <w:b/>
                <w:sz w:val="20"/>
                <w:szCs w:val="20"/>
              </w:rPr>
              <w:t>Graduate Studies</w:t>
            </w:r>
          </w:p>
        </w:tc>
        <w:tc>
          <w:tcPr>
            <w:tcW w:w="1517" w:type="dxa"/>
          </w:tcPr>
          <w:p w:rsidR="00AB5B3C" w:rsidRPr="00AB5B3C" w:rsidRDefault="001F7EC8" w:rsidP="00AB5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Under-employed</w:t>
            </w:r>
            <w:r w:rsidR="00AB5B3C" w:rsidRPr="00AB5B3C">
              <w:rPr>
                <w:b/>
                <w:sz w:val="18"/>
                <w:szCs w:val="18"/>
              </w:rPr>
              <w:t xml:space="preserve"> </w:t>
            </w:r>
          </w:p>
          <w:p w:rsidR="00AB5B3C" w:rsidRPr="007D6A6A" w:rsidRDefault="001F7EC8" w:rsidP="00AB5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/</w:t>
            </w:r>
            <w:r w:rsidR="00AB5B3C" w:rsidRPr="00AB5B3C">
              <w:rPr>
                <w:b/>
                <w:sz w:val="18"/>
                <w:szCs w:val="18"/>
              </w:rPr>
              <w:t>Still Seeking</w:t>
            </w:r>
          </w:p>
        </w:tc>
        <w:tc>
          <w:tcPr>
            <w:tcW w:w="1342" w:type="dxa"/>
          </w:tcPr>
          <w:p w:rsidR="00AB5B3C" w:rsidRPr="007D6A6A" w:rsidRDefault="00AB5B3C" w:rsidP="001F7EC8">
            <w:pPr>
              <w:jc w:val="center"/>
              <w:rPr>
                <w:b/>
                <w:sz w:val="20"/>
                <w:szCs w:val="20"/>
              </w:rPr>
            </w:pPr>
            <w:r w:rsidRPr="007D6A6A">
              <w:rPr>
                <w:b/>
                <w:sz w:val="20"/>
                <w:szCs w:val="20"/>
              </w:rPr>
              <w:t xml:space="preserve">% of Class </w:t>
            </w:r>
            <w:r w:rsidR="001F7EC8">
              <w:rPr>
                <w:b/>
                <w:sz w:val="20"/>
                <w:szCs w:val="20"/>
              </w:rPr>
              <w:t>Surveyed</w:t>
            </w:r>
          </w:p>
        </w:tc>
        <w:tc>
          <w:tcPr>
            <w:tcW w:w="1254" w:type="dxa"/>
          </w:tcPr>
          <w:p w:rsidR="00AB5B3C" w:rsidRPr="007D6A6A" w:rsidRDefault="007A2CD8" w:rsidP="007A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not Surveyed</w:t>
            </w:r>
          </w:p>
        </w:tc>
      </w:tr>
      <w:tr w:rsidR="004E1552" w:rsidTr="00BF3DC8">
        <w:tc>
          <w:tcPr>
            <w:tcW w:w="1271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537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313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342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517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42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1254" w:type="dxa"/>
          </w:tcPr>
          <w:p w:rsidR="004E1552" w:rsidRDefault="002B0FAB" w:rsidP="00AB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2B0FAB" w:rsidTr="00BF3DC8">
        <w:tc>
          <w:tcPr>
            <w:tcW w:w="1271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53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313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151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1254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2B0FAB" w:rsidTr="00BF3DC8">
        <w:tc>
          <w:tcPr>
            <w:tcW w:w="1271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53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1313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51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1254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53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1313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517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342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254" w:type="dxa"/>
          </w:tcPr>
          <w:p w:rsidR="002B0FAB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 w:rsidRPr="007D6A6A">
              <w:rPr>
                <w:sz w:val="20"/>
                <w:szCs w:val="20"/>
              </w:rPr>
              <w:t>2011-2012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2B0FAB" w:rsidTr="00BF3DC8">
        <w:tc>
          <w:tcPr>
            <w:tcW w:w="1271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2006-2007</w:t>
            </w:r>
          </w:p>
        </w:tc>
        <w:tc>
          <w:tcPr>
            <w:tcW w:w="153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313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517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342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254" w:type="dxa"/>
          </w:tcPr>
          <w:p w:rsidR="002B0FAB" w:rsidRPr="007D6A6A" w:rsidRDefault="002B0FAB" w:rsidP="006B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2B0FAB" w:rsidTr="00BF3DC8">
        <w:tc>
          <w:tcPr>
            <w:tcW w:w="1271" w:type="dxa"/>
          </w:tcPr>
          <w:p w:rsidR="002B0FAB" w:rsidRDefault="002B0FAB" w:rsidP="00AB5B3C">
            <w:pPr>
              <w:jc w:val="center"/>
            </w:pPr>
            <w:r>
              <w:t>Averages</w:t>
            </w:r>
          </w:p>
        </w:tc>
        <w:tc>
          <w:tcPr>
            <w:tcW w:w="1537" w:type="dxa"/>
          </w:tcPr>
          <w:p w:rsidR="002B0FAB" w:rsidRDefault="002B0FAB" w:rsidP="00AB5B3C">
            <w:pPr>
              <w:jc w:val="center"/>
            </w:pPr>
            <w:r>
              <w:t>88%</w:t>
            </w:r>
          </w:p>
        </w:tc>
        <w:tc>
          <w:tcPr>
            <w:tcW w:w="1313" w:type="dxa"/>
          </w:tcPr>
          <w:p w:rsidR="002B0FAB" w:rsidRDefault="002B0FAB" w:rsidP="00AB5B3C">
            <w:pPr>
              <w:jc w:val="center"/>
            </w:pPr>
            <w:r>
              <w:t>65%</w:t>
            </w:r>
          </w:p>
        </w:tc>
        <w:tc>
          <w:tcPr>
            <w:tcW w:w="1342" w:type="dxa"/>
          </w:tcPr>
          <w:p w:rsidR="002B0FAB" w:rsidRDefault="002B0FAB" w:rsidP="00546ECA">
            <w:pPr>
              <w:jc w:val="center"/>
            </w:pPr>
            <w:r>
              <w:t>23%</w:t>
            </w:r>
          </w:p>
        </w:tc>
        <w:tc>
          <w:tcPr>
            <w:tcW w:w="1517" w:type="dxa"/>
          </w:tcPr>
          <w:p w:rsidR="002B0FAB" w:rsidRDefault="002B0FAB" w:rsidP="00DE5E59">
            <w:pPr>
              <w:jc w:val="center"/>
            </w:pPr>
            <w:r>
              <w:t>12%</w:t>
            </w:r>
          </w:p>
        </w:tc>
        <w:tc>
          <w:tcPr>
            <w:tcW w:w="1342" w:type="dxa"/>
          </w:tcPr>
          <w:p w:rsidR="002B0FAB" w:rsidRDefault="002B0FAB" w:rsidP="00AB5B3C">
            <w:pPr>
              <w:jc w:val="center"/>
            </w:pPr>
            <w:r>
              <w:t>94%</w:t>
            </w:r>
          </w:p>
        </w:tc>
        <w:tc>
          <w:tcPr>
            <w:tcW w:w="1254" w:type="dxa"/>
          </w:tcPr>
          <w:p w:rsidR="002B0FAB" w:rsidRDefault="002B0FAB" w:rsidP="00AB5B3C">
            <w:pPr>
              <w:jc w:val="center"/>
            </w:pPr>
            <w:r>
              <w:t>6%</w:t>
            </w:r>
          </w:p>
        </w:tc>
      </w:tr>
    </w:tbl>
    <w:p w:rsidR="00010003" w:rsidRDefault="00010003" w:rsidP="00010003">
      <w:pPr>
        <w:pStyle w:val="ListParagraph"/>
        <w:rPr>
          <w:i/>
          <w:sz w:val="24"/>
          <w:szCs w:val="24"/>
        </w:rPr>
      </w:pPr>
    </w:p>
    <w:p w:rsidR="00153F6B" w:rsidRPr="00153F6B" w:rsidRDefault="00BF3DC8" w:rsidP="00153F6B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153F6B">
        <w:rPr>
          <w:i/>
          <w:sz w:val="24"/>
          <w:szCs w:val="24"/>
        </w:rPr>
        <w:t>Professional Success Rate includes students who are</w:t>
      </w:r>
      <w:r w:rsidR="001F7EC8" w:rsidRPr="00153F6B">
        <w:rPr>
          <w:i/>
          <w:sz w:val="24"/>
          <w:szCs w:val="24"/>
        </w:rPr>
        <w:t xml:space="preserve"> working in a full-time professional </w:t>
      </w:r>
      <w:r w:rsidR="00692B28" w:rsidRPr="00153F6B">
        <w:rPr>
          <w:i/>
          <w:sz w:val="24"/>
          <w:szCs w:val="24"/>
        </w:rPr>
        <w:t xml:space="preserve">position </w:t>
      </w:r>
      <w:r w:rsidRPr="00153F6B">
        <w:rPr>
          <w:i/>
          <w:sz w:val="24"/>
          <w:szCs w:val="24"/>
        </w:rPr>
        <w:t xml:space="preserve">and/or </w:t>
      </w:r>
      <w:r w:rsidR="00692B28" w:rsidRPr="00153F6B">
        <w:rPr>
          <w:i/>
          <w:sz w:val="24"/>
          <w:szCs w:val="24"/>
        </w:rPr>
        <w:t xml:space="preserve">enrolled in </w:t>
      </w:r>
      <w:r w:rsidR="001F7EC8" w:rsidRPr="00153F6B">
        <w:rPr>
          <w:i/>
          <w:sz w:val="24"/>
          <w:szCs w:val="24"/>
        </w:rPr>
        <w:t xml:space="preserve">graduate school.  </w:t>
      </w:r>
    </w:p>
    <w:p w:rsidR="007D6A6A" w:rsidRPr="00153F6B" w:rsidRDefault="00153F6B" w:rsidP="00153F6B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53F6B">
        <w:rPr>
          <w:i/>
          <w:sz w:val="24"/>
          <w:szCs w:val="24"/>
        </w:rPr>
        <w:t>S</w:t>
      </w:r>
      <w:r w:rsidR="001F7EC8" w:rsidRPr="00153F6B">
        <w:rPr>
          <w:i/>
          <w:sz w:val="24"/>
          <w:szCs w:val="24"/>
        </w:rPr>
        <w:t>tudents who are working part-time in their</w:t>
      </w:r>
      <w:r w:rsidR="00BF3DC8" w:rsidRPr="00153F6B">
        <w:rPr>
          <w:i/>
          <w:sz w:val="24"/>
          <w:szCs w:val="24"/>
        </w:rPr>
        <w:t xml:space="preserve"> career</w:t>
      </w:r>
      <w:r w:rsidR="001F7EC8" w:rsidRPr="00153F6B">
        <w:rPr>
          <w:i/>
          <w:sz w:val="24"/>
          <w:szCs w:val="24"/>
        </w:rPr>
        <w:t xml:space="preserve"> field are </w:t>
      </w:r>
      <w:r w:rsidR="00692B28" w:rsidRPr="00153F6B">
        <w:rPr>
          <w:i/>
          <w:sz w:val="24"/>
          <w:szCs w:val="24"/>
        </w:rPr>
        <w:t>considered under</w:t>
      </w:r>
      <w:r w:rsidR="001F7EC8" w:rsidRPr="00153F6B">
        <w:rPr>
          <w:i/>
          <w:sz w:val="24"/>
          <w:szCs w:val="24"/>
        </w:rPr>
        <w:t>-employed or still seeking</w:t>
      </w:r>
      <w:r w:rsidR="001F7EC8" w:rsidRPr="00153F6B">
        <w:rPr>
          <w:i/>
          <w:sz w:val="20"/>
          <w:szCs w:val="20"/>
        </w:rPr>
        <w:t>.</w:t>
      </w:r>
    </w:p>
    <w:p w:rsidR="00AD48C8" w:rsidRDefault="007D6A6A" w:rsidP="007D6A6A">
      <w:pPr>
        <w:pStyle w:val="NoSpacing"/>
      </w:pPr>
      <w:r w:rsidRPr="00AD48C8">
        <w:rPr>
          <w:b/>
          <w:i/>
        </w:rPr>
        <w:t>201</w:t>
      </w:r>
      <w:r w:rsidR="009C3F5E">
        <w:rPr>
          <w:b/>
          <w:i/>
        </w:rPr>
        <w:t>5</w:t>
      </w:r>
      <w:r w:rsidRPr="00AD48C8">
        <w:rPr>
          <w:b/>
          <w:i/>
        </w:rPr>
        <w:t>-201</w:t>
      </w:r>
      <w:r w:rsidR="009C3F5E">
        <w:rPr>
          <w:b/>
          <w:i/>
        </w:rPr>
        <w:t>6</w:t>
      </w:r>
      <w:r w:rsidRPr="00AD48C8">
        <w:rPr>
          <w:b/>
          <w:i/>
        </w:rPr>
        <w:t xml:space="preserve"> Graduates have found employment with the following companies:</w:t>
      </w:r>
    </w:p>
    <w:p w:rsidR="00AD48C8" w:rsidRDefault="00AD48C8" w:rsidP="00AD48C8">
      <w:pPr>
        <w:pStyle w:val="NoSpacing"/>
        <w:sectPr w:rsidR="00AD48C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552" w:rsidRDefault="004E1552" w:rsidP="004E1552">
      <w:pPr>
        <w:pStyle w:val="NoSpacing"/>
        <w:numPr>
          <w:ilvl w:val="0"/>
          <w:numId w:val="1"/>
        </w:numPr>
      </w:pPr>
      <w:r>
        <w:lastRenderedPageBreak/>
        <w:t>Barnes-Jewish Hospital</w:t>
      </w:r>
    </w:p>
    <w:p w:rsidR="004E1552" w:rsidRDefault="004E1552" w:rsidP="004E1552">
      <w:pPr>
        <w:pStyle w:val="NoSpacing"/>
        <w:numPr>
          <w:ilvl w:val="0"/>
          <w:numId w:val="1"/>
        </w:numPr>
      </w:pPr>
      <w:r>
        <w:t>Blessing Hospital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t>PwC- PricewaterhouseCoopers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t>KPMG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lastRenderedPageBreak/>
        <w:t>Fox Champaign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t>St. Louis County Prosecutor’s Office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t>Wilson Sporting Goods</w:t>
      </w:r>
    </w:p>
    <w:p w:rsidR="00D0565C" w:rsidRDefault="009C3F5E" w:rsidP="00D0565C">
      <w:pPr>
        <w:pStyle w:val="NoSpacing"/>
        <w:numPr>
          <w:ilvl w:val="0"/>
          <w:numId w:val="1"/>
        </w:numPr>
      </w:pPr>
      <w:r>
        <w:t>DOT Foods</w:t>
      </w:r>
    </w:p>
    <w:p w:rsidR="00AD48C8" w:rsidRDefault="00AD48C8" w:rsidP="00AD48C8">
      <w:pPr>
        <w:pStyle w:val="NoSpacing"/>
        <w:ind w:left="720"/>
        <w:sectPr w:rsidR="00AD48C8" w:rsidSect="00AD48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48C8" w:rsidRDefault="00AD48C8" w:rsidP="00AD48C8">
      <w:pPr>
        <w:pStyle w:val="NoSpacing"/>
        <w:ind w:left="720"/>
      </w:pPr>
    </w:p>
    <w:p w:rsidR="00AD48C8" w:rsidRDefault="00AD48C8" w:rsidP="00AD48C8">
      <w:pPr>
        <w:pStyle w:val="NoSpacing"/>
      </w:pPr>
      <w:r w:rsidRPr="00AD48C8">
        <w:rPr>
          <w:b/>
          <w:i/>
        </w:rPr>
        <w:t>201</w:t>
      </w:r>
      <w:r w:rsidR="00BF220B">
        <w:rPr>
          <w:b/>
          <w:i/>
        </w:rPr>
        <w:t>5</w:t>
      </w:r>
      <w:r w:rsidRPr="00AD48C8">
        <w:rPr>
          <w:b/>
          <w:i/>
        </w:rPr>
        <w:t>-201</w:t>
      </w:r>
      <w:r w:rsidR="00BF220B">
        <w:rPr>
          <w:b/>
          <w:i/>
        </w:rPr>
        <w:t>6</w:t>
      </w:r>
      <w:bookmarkStart w:id="0" w:name="_GoBack"/>
      <w:bookmarkEnd w:id="0"/>
      <w:r w:rsidRPr="00AD48C8">
        <w:rPr>
          <w:b/>
          <w:i/>
        </w:rPr>
        <w:t xml:space="preserve"> Graduates </w:t>
      </w:r>
      <w:proofErr w:type="gramStart"/>
      <w:r>
        <w:rPr>
          <w:b/>
          <w:i/>
        </w:rPr>
        <w:t>were accepted</w:t>
      </w:r>
      <w:proofErr w:type="gramEnd"/>
      <w:r>
        <w:rPr>
          <w:b/>
          <w:i/>
        </w:rPr>
        <w:t xml:space="preserve"> into the </w:t>
      </w:r>
      <w:r w:rsidRPr="00AD48C8">
        <w:rPr>
          <w:b/>
          <w:i/>
        </w:rPr>
        <w:t xml:space="preserve">following </w:t>
      </w:r>
      <w:r>
        <w:rPr>
          <w:b/>
          <w:i/>
        </w:rPr>
        <w:t>graduate school programs</w:t>
      </w:r>
      <w:r w:rsidRPr="00AD48C8">
        <w:rPr>
          <w:b/>
          <w:i/>
        </w:rPr>
        <w:t>:</w:t>
      </w:r>
    </w:p>
    <w:p w:rsidR="009C3F5E" w:rsidRDefault="009C3F5E" w:rsidP="009C3F5E">
      <w:pPr>
        <w:pStyle w:val="NoSpacing"/>
        <w:numPr>
          <w:ilvl w:val="0"/>
          <w:numId w:val="2"/>
        </w:numPr>
      </w:pPr>
      <w:proofErr w:type="gramStart"/>
      <w:r>
        <w:t>A.T.</w:t>
      </w:r>
      <w:proofErr w:type="gramEnd"/>
      <w:r>
        <w:t xml:space="preserve"> Still University, Medical Doctor Program</w:t>
      </w:r>
    </w:p>
    <w:p w:rsidR="009C3F5E" w:rsidRDefault="009C3F5E" w:rsidP="009C3F5E">
      <w:pPr>
        <w:pStyle w:val="NoSpacing"/>
        <w:numPr>
          <w:ilvl w:val="0"/>
          <w:numId w:val="2"/>
        </w:numPr>
      </w:pPr>
      <w:r>
        <w:t>Ave Maria University, Theology Program</w:t>
      </w:r>
    </w:p>
    <w:p w:rsidR="009C3F5E" w:rsidRDefault="009C3F5E" w:rsidP="009C3F5E">
      <w:pPr>
        <w:pStyle w:val="NoSpacing"/>
        <w:numPr>
          <w:ilvl w:val="0"/>
          <w:numId w:val="2"/>
        </w:numPr>
      </w:pPr>
      <w:r>
        <w:t>Michigan State University, Juris Doctor Program</w:t>
      </w:r>
    </w:p>
    <w:p w:rsidR="009C3F5E" w:rsidRPr="00A166CD" w:rsidRDefault="009C3F5E" w:rsidP="009C3F5E">
      <w:pPr>
        <w:pStyle w:val="NoSpacing"/>
        <w:numPr>
          <w:ilvl w:val="0"/>
          <w:numId w:val="2"/>
        </w:numPr>
      </w:pPr>
      <w:r w:rsidRPr="00A166CD">
        <w:t xml:space="preserve">Quincy University, MBA, MAC, MEC and MSE Programs  </w:t>
      </w:r>
    </w:p>
    <w:p w:rsidR="004E1552" w:rsidRDefault="009C3F5E" w:rsidP="00212325">
      <w:pPr>
        <w:pStyle w:val="NoSpacing"/>
        <w:numPr>
          <w:ilvl w:val="0"/>
          <w:numId w:val="2"/>
        </w:numPr>
      </w:pPr>
      <w:r>
        <w:t>Southern Illinois-Carbondale, Dental Medicine Program</w:t>
      </w:r>
    </w:p>
    <w:p w:rsidR="004E1552" w:rsidRDefault="009C3F5E" w:rsidP="00212325">
      <w:pPr>
        <w:pStyle w:val="NoSpacing"/>
        <w:numPr>
          <w:ilvl w:val="0"/>
          <w:numId w:val="2"/>
        </w:numPr>
      </w:pPr>
      <w:r>
        <w:t>St. Louis University, MBA</w:t>
      </w:r>
    </w:p>
    <w:p w:rsidR="00A166CD" w:rsidRPr="00A166CD" w:rsidRDefault="004E1552" w:rsidP="00212325">
      <w:pPr>
        <w:pStyle w:val="NoSpacing"/>
        <w:numPr>
          <w:ilvl w:val="0"/>
          <w:numId w:val="2"/>
        </w:numPr>
      </w:pPr>
      <w:r>
        <w:t xml:space="preserve">University of </w:t>
      </w:r>
      <w:r w:rsidR="009C3F5E">
        <w:t>Missouri-Columbia</w:t>
      </w:r>
      <w:r>
        <w:t xml:space="preserve">, </w:t>
      </w:r>
      <w:r w:rsidR="009C3F5E">
        <w:t>Physical Therapy Program</w:t>
      </w:r>
    </w:p>
    <w:p w:rsidR="00D0565C" w:rsidRPr="00A166CD" w:rsidRDefault="009C3F5E" w:rsidP="00D0565C">
      <w:pPr>
        <w:pStyle w:val="NoSpacing"/>
        <w:numPr>
          <w:ilvl w:val="0"/>
          <w:numId w:val="2"/>
        </w:numPr>
      </w:pPr>
      <w:r>
        <w:t>University of Missouri-St. Louis, Optometry Program</w:t>
      </w:r>
    </w:p>
    <w:p w:rsidR="00AD48C8" w:rsidRDefault="00AD48C8" w:rsidP="00212325">
      <w:pPr>
        <w:pStyle w:val="NoSpacing"/>
        <w:ind w:left="720"/>
      </w:pPr>
    </w:p>
    <w:p w:rsidR="005B7F9C" w:rsidRPr="005B7F9C" w:rsidRDefault="005B7F9C" w:rsidP="005B7F9C">
      <w:r w:rsidRPr="005B7F9C">
        <w:rPr>
          <w:u w:val="single"/>
        </w:rPr>
        <w:t>Outcome Methodology</w:t>
      </w:r>
      <w:r>
        <w:rPr>
          <w:u w:val="single"/>
        </w:rPr>
        <w:br/>
      </w:r>
      <w:r>
        <w:t xml:space="preserve">This report contains professional employment and graduate school outcomes for the Quincy University </w:t>
      </w:r>
      <w:r w:rsidR="00484025">
        <w:t xml:space="preserve">Undergraduate, graduating </w:t>
      </w:r>
      <w:r>
        <w:t>Class of 201</w:t>
      </w:r>
      <w:r w:rsidR="009C3F5E">
        <w:t>6</w:t>
      </w:r>
      <w:r>
        <w:t xml:space="preserve">.  This information was collected by the </w:t>
      </w:r>
      <w:r w:rsidR="00546ECA">
        <w:t>Director</w:t>
      </w:r>
      <w:r>
        <w:t xml:space="preserve"> of Career Services within six months of students graduating.  Statistics were collected from a survey given to</w:t>
      </w:r>
      <w:r w:rsidR="00484025">
        <w:t xml:space="preserve"> accelerated adult professional studies and traditional undergraduate</w:t>
      </w:r>
      <w:r>
        <w:t xml:space="preserve"> students in May and followed up through personal phone calls, emails, social media and faculty reporting.   </w:t>
      </w:r>
    </w:p>
    <w:sectPr w:rsidR="005B7F9C" w:rsidRPr="005B7F9C" w:rsidSect="00AD48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5" w:rsidRDefault="00484025" w:rsidP="00484025">
      <w:pPr>
        <w:spacing w:after="0" w:line="240" w:lineRule="auto"/>
      </w:pPr>
      <w:r>
        <w:separator/>
      </w:r>
    </w:p>
  </w:endnote>
  <w:endnote w:type="continuationSeparator" w:id="0">
    <w:p w:rsidR="00484025" w:rsidRDefault="00484025" w:rsidP="004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5" w:rsidRDefault="00484025" w:rsidP="00484025">
      <w:pPr>
        <w:spacing w:after="0" w:line="240" w:lineRule="auto"/>
      </w:pPr>
      <w:r>
        <w:separator/>
      </w:r>
    </w:p>
  </w:footnote>
  <w:footnote w:type="continuationSeparator" w:id="0">
    <w:p w:rsidR="00484025" w:rsidRDefault="00484025" w:rsidP="004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25" w:rsidRDefault="00484025" w:rsidP="00484025">
    <w:pPr>
      <w:pStyle w:val="Header"/>
      <w:jc w:val="center"/>
    </w:pPr>
    <w:r w:rsidRPr="00BF3DC8">
      <w:rPr>
        <w:b/>
        <w:i/>
        <w:sz w:val="24"/>
        <w:szCs w:val="24"/>
      </w:rPr>
      <w:t xml:space="preserve">Quincy University Cumulative </w:t>
    </w:r>
    <w:r>
      <w:rPr>
        <w:b/>
        <w:i/>
        <w:sz w:val="24"/>
        <w:szCs w:val="24"/>
      </w:rPr>
      <w:t xml:space="preserve">Undergraduate </w:t>
    </w:r>
    <w:r w:rsidRPr="00BF3DC8">
      <w:rPr>
        <w:b/>
        <w:i/>
        <w:sz w:val="24"/>
        <w:szCs w:val="24"/>
      </w:rPr>
      <w:t xml:space="preserve">Outcomes Report collected </w:t>
    </w:r>
    <w:r>
      <w:rPr>
        <w:b/>
        <w:i/>
        <w:sz w:val="24"/>
        <w:szCs w:val="24"/>
      </w:rPr>
      <w:br/>
    </w:r>
    <w:r w:rsidRPr="00BF3DC8">
      <w:rPr>
        <w:b/>
        <w:i/>
        <w:sz w:val="24"/>
        <w:szCs w:val="24"/>
      </w:rPr>
      <w:t xml:space="preserve">within </w:t>
    </w:r>
    <w:r w:rsidRPr="00153F6B">
      <w:rPr>
        <w:b/>
        <w:i/>
        <w:sz w:val="24"/>
        <w:szCs w:val="24"/>
        <w:u w:val="single"/>
      </w:rPr>
      <w:t>6 months</w:t>
    </w:r>
    <w:r w:rsidRPr="00BF3DC8">
      <w:rPr>
        <w:b/>
        <w:i/>
        <w:sz w:val="24"/>
        <w:szCs w:val="24"/>
      </w:rPr>
      <w:t xml:space="preserve"> of graduating.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8CF"/>
    <w:multiLevelType w:val="hybridMultilevel"/>
    <w:tmpl w:val="7F740692"/>
    <w:lvl w:ilvl="0" w:tplc="1F5436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5A4"/>
    <w:multiLevelType w:val="hybridMultilevel"/>
    <w:tmpl w:val="F26835DE"/>
    <w:lvl w:ilvl="0" w:tplc="1F5436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73825"/>
    <w:multiLevelType w:val="hybridMultilevel"/>
    <w:tmpl w:val="67D8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660"/>
    <w:multiLevelType w:val="hybridMultilevel"/>
    <w:tmpl w:val="59B4AB06"/>
    <w:lvl w:ilvl="0" w:tplc="1F5436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O1NDQ3MjcztDCwNDVS0lEKTi0uzszPAykwrgUA/B79LywAAAA="/>
  </w:docVars>
  <w:rsids>
    <w:rsidRoot w:val="008B436D"/>
    <w:rsid w:val="00010003"/>
    <w:rsid w:val="000A71EE"/>
    <w:rsid w:val="000E0DB1"/>
    <w:rsid w:val="00153F6B"/>
    <w:rsid w:val="001F7EC8"/>
    <w:rsid w:val="00212325"/>
    <w:rsid w:val="00231B6D"/>
    <w:rsid w:val="002B0FAB"/>
    <w:rsid w:val="00484025"/>
    <w:rsid w:val="004B1578"/>
    <w:rsid w:val="004E1552"/>
    <w:rsid w:val="00546ECA"/>
    <w:rsid w:val="005B7F9C"/>
    <w:rsid w:val="005E042C"/>
    <w:rsid w:val="00651D18"/>
    <w:rsid w:val="0065575E"/>
    <w:rsid w:val="00692B28"/>
    <w:rsid w:val="006A6EAD"/>
    <w:rsid w:val="0071447D"/>
    <w:rsid w:val="00795CF3"/>
    <w:rsid w:val="007A2CD8"/>
    <w:rsid w:val="007A4722"/>
    <w:rsid w:val="007D6A6A"/>
    <w:rsid w:val="008B436D"/>
    <w:rsid w:val="009347B9"/>
    <w:rsid w:val="009C3F5E"/>
    <w:rsid w:val="00A166CD"/>
    <w:rsid w:val="00A40F29"/>
    <w:rsid w:val="00AB5B3C"/>
    <w:rsid w:val="00AD48C8"/>
    <w:rsid w:val="00BE4C56"/>
    <w:rsid w:val="00BF220B"/>
    <w:rsid w:val="00BF3DC8"/>
    <w:rsid w:val="00CA4FB3"/>
    <w:rsid w:val="00D0565C"/>
    <w:rsid w:val="00DE5E59"/>
    <w:rsid w:val="00D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6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25"/>
  </w:style>
  <w:style w:type="paragraph" w:styleId="Footer">
    <w:name w:val="footer"/>
    <w:basedOn w:val="Normal"/>
    <w:link w:val="FooterChar"/>
    <w:uiPriority w:val="99"/>
    <w:unhideWhenUsed/>
    <w:rsid w:val="004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6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25"/>
  </w:style>
  <w:style w:type="paragraph" w:styleId="Footer">
    <w:name w:val="footer"/>
    <w:basedOn w:val="Normal"/>
    <w:link w:val="FooterChar"/>
    <w:uiPriority w:val="99"/>
    <w:unhideWhenUsed/>
    <w:rsid w:val="004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University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Liesen</dc:creator>
  <cp:lastModifiedBy>Kristen Liesen</cp:lastModifiedBy>
  <cp:revision>27</cp:revision>
  <cp:lastPrinted>2013-10-15T19:13:00Z</cp:lastPrinted>
  <dcterms:created xsi:type="dcterms:W3CDTF">2013-10-08T14:53:00Z</dcterms:created>
  <dcterms:modified xsi:type="dcterms:W3CDTF">2016-12-19T20:13:00Z</dcterms:modified>
</cp:coreProperties>
</file>